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September 22,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Chastity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Re-read from p. 65 “I don’t recollect Alex…” to p. 66 “...drawn north, to Alaska.” </w:t>
      </w: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First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, write out the definitions of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chastity, succor, 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and </w:t>
      </w:r>
      <w:r w:rsidRPr="00000000" w:rsidR="00000000" w:rsidDel="00000000">
        <w:rPr>
          <w:rFonts w:cs="Times New Roman" w:hAnsi="Times New Roman" w:eastAsia="Times New Roman" w:ascii="Times New Roman"/>
          <w:i w:val="1"/>
          <w:rtl w:val="0"/>
        </w:rPr>
        <w:t xml:space="preserve">congress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(in the sense you think it’s used in this passage). </w:t>
      </w: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Then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, write a one sentence paraphrase of the chunk on p. 66 from “His yearning…” to the end of the paragraph. </w:t>
      </w: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Finally</w:t>
      </w: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, write a response (up to a page) to any idea from these two pages.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chastity.docx</dc:title>
</cp:coreProperties>
</file>